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2" w:type="dxa"/>
        <w:tblLook w:val="04A0" w:firstRow="1" w:lastRow="0" w:firstColumn="1" w:lastColumn="0" w:noHBand="0" w:noVBand="1"/>
      </w:tblPr>
      <w:tblGrid>
        <w:gridCol w:w="978"/>
        <w:gridCol w:w="2139"/>
        <w:gridCol w:w="2837"/>
        <w:gridCol w:w="1984"/>
        <w:gridCol w:w="2864"/>
      </w:tblGrid>
      <w:tr w:rsidR="00B233C8" w:rsidRPr="00C43A20" w14:paraId="59F1ED33" w14:textId="77777777" w:rsidTr="00E12824">
        <w:trPr>
          <w:trHeight w:hRule="exact" w:val="1002"/>
        </w:trPr>
        <w:tc>
          <w:tcPr>
            <w:tcW w:w="3117" w:type="dxa"/>
            <w:gridSpan w:val="2"/>
            <w:tcBorders>
              <w:top w:val="nil"/>
              <w:left w:val="nil"/>
              <w:bottom w:val="double" w:sz="4" w:space="0" w:color="auto"/>
              <w:right w:val="nil"/>
            </w:tcBorders>
          </w:tcPr>
          <w:p w14:paraId="54305F9E" w14:textId="38223312" w:rsidR="00B233C8" w:rsidRPr="00C43A20" w:rsidRDefault="007C7E7D">
            <w:pPr>
              <w:rPr>
                <w:rFonts w:ascii="Times New Roman" w:hAnsi="Times New Roman" w:cs="Times New Roman"/>
                <w:sz w:val="24"/>
                <w:szCs w:val="24"/>
              </w:rPr>
            </w:pPr>
            <w:bookmarkStart w:id="0" w:name="_GoBack"/>
            <w:bookmarkEnd w:id="0"/>
            <w:r>
              <w:rPr>
                <w:noProof/>
                <w:lang w:eastAsia="tr-TR"/>
              </w:rPr>
              <w:drawing>
                <wp:inline distT="0" distB="0" distL="0" distR="0" wp14:anchorId="3E79CDB0" wp14:editId="4F4F2D9D">
                  <wp:extent cx="571500" cy="59505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958" cy="611151"/>
                          </a:xfrm>
                          <a:prstGeom prst="rect">
                            <a:avLst/>
                          </a:prstGeom>
                          <a:noFill/>
                          <a:ln>
                            <a:noFill/>
                          </a:ln>
                        </pic:spPr>
                      </pic:pic>
                    </a:graphicData>
                  </a:graphic>
                </wp:inline>
              </w:drawing>
            </w:r>
          </w:p>
        </w:tc>
        <w:tc>
          <w:tcPr>
            <w:tcW w:w="4821" w:type="dxa"/>
            <w:gridSpan w:val="2"/>
            <w:tcBorders>
              <w:top w:val="nil"/>
              <w:left w:val="nil"/>
              <w:bottom w:val="double" w:sz="4" w:space="0" w:color="auto"/>
              <w:right w:val="nil"/>
            </w:tcBorders>
            <w:vAlign w:val="center"/>
          </w:tcPr>
          <w:p w14:paraId="5ED11A6C" w14:textId="348988E1" w:rsidR="0068524F" w:rsidRPr="00D2197A" w:rsidRDefault="0063432C" w:rsidP="00D2197A">
            <w:pPr>
              <w:ind w:right="-108"/>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KİLİS 7 ARALIK</w:t>
            </w:r>
            <w:r w:rsidR="0068524F" w:rsidRPr="00D2197A">
              <w:rPr>
                <w:rFonts w:ascii="Times New Roman" w:eastAsia="Times New Roman" w:hAnsi="Times New Roman" w:cs="Times New Roman"/>
                <w:b/>
                <w:sz w:val="24"/>
                <w:szCs w:val="24"/>
                <w:lang w:eastAsia="tr-TR"/>
              </w:rPr>
              <w:t xml:space="preserve"> ÜNİVERSİTESİ</w:t>
            </w:r>
          </w:p>
          <w:p w14:paraId="16EF7BE7" w14:textId="54670B29" w:rsidR="0068524F" w:rsidRPr="00D2197A" w:rsidRDefault="00C43A20" w:rsidP="00D2197A">
            <w:pPr>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TEKNİK BİLİMLER</w:t>
            </w:r>
            <w:r w:rsidR="0068524F" w:rsidRPr="00D2197A">
              <w:rPr>
                <w:rFonts w:ascii="Times New Roman" w:eastAsia="Times New Roman" w:hAnsi="Times New Roman" w:cs="Times New Roman"/>
                <w:b/>
                <w:sz w:val="24"/>
                <w:szCs w:val="24"/>
                <w:lang w:eastAsia="tr-TR"/>
              </w:rPr>
              <w:t xml:space="preserve"> </w:t>
            </w:r>
            <w:r w:rsidR="00D2197A">
              <w:rPr>
                <w:rFonts w:ascii="Times New Roman" w:eastAsia="Times New Roman" w:hAnsi="Times New Roman" w:cs="Times New Roman"/>
                <w:b/>
                <w:sz w:val="24"/>
                <w:szCs w:val="24"/>
                <w:lang w:eastAsia="tr-TR"/>
              </w:rPr>
              <w:t>MYO</w:t>
            </w:r>
          </w:p>
          <w:p w14:paraId="7C70F826" w14:textId="77777777" w:rsidR="00B233C8" w:rsidRPr="00C43A20" w:rsidRDefault="0068524F" w:rsidP="00D2197A">
            <w:pPr>
              <w:jc w:val="center"/>
              <w:rPr>
                <w:rFonts w:ascii="Times New Roman" w:hAnsi="Times New Roman" w:cs="Times New Roman"/>
                <w:sz w:val="24"/>
                <w:szCs w:val="24"/>
              </w:rPr>
            </w:pPr>
            <w:r w:rsidRPr="00D2197A">
              <w:rPr>
                <w:rFonts w:ascii="Times New Roman" w:eastAsia="Times New Roman" w:hAnsi="Times New Roman" w:cs="Times New Roman"/>
                <w:b/>
                <w:sz w:val="24"/>
                <w:szCs w:val="24"/>
                <w:lang w:eastAsia="tr-TR"/>
              </w:rPr>
              <w:t>GÖREV TANIMI FORMU</w:t>
            </w:r>
          </w:p>
        </w:tc>
        <w:tc>
          <w:tcPr>
            <w:tcW w:w="2864" w:type="dxa"/>
            <w:tcBorders>
              <w:top w:val="nil"/>
              <w:left w:val="nil"/>
              <w:bottom w:val="double" w:sz="4" w:space="0" w:color="auto"/>
              <w:right w:val="nil"/>
            </w:tcBorders>
          </w:tcPr>
          <w:p w14:paraId="14ECC298" w14:textId="2587597C" w:rsidR="00B233C8" w:rsidRPr="00C43A20" w:rsidRDefault="00B233C8" w:rsidP="0068524F">
            <w:pPr>
              <w:jc w:val="right"/>
              <w:rPr>
                <w:rFonts w:ascii="Times New Roman" w:hAnsi="Times New Roman" w:cs="Times New Roman"/>
                <w:sz w:val="24"/>
                <w:szCs w:val="24"/>
              </w:rPr>
            </w:pPr>
          </w:p>
        </w:tc>
      </w:tr>
      <w:tr w:rsidR="00E12824" w:rsidRPr="00C43A20" w14:paraId="70BC911E" w14:textId="77777777" w:rsidTr="00D92DCE">
        <w:trPr>
          <w:trHeight w:val="275"/>
        </w:trPr>
        <w:tc>
          <w:tcPr>
            <w:tcW w:w="3117" w:type="dxa"/>
            <w:gridSpan w:val="2"/>
            <w:vMerge w:val="restart"/>
            <w:tcBorders>
              <w:top w:val="double" w:sz="4" w:space="0" w:color="auto"/>
              <w:left w:val="double" w:sz="4" w:space="0" w:color="auto"/>
              <w:bottom w:val="double" w:sz="4" w:space="0" w:color="auto"/>
              <w:right w:val="double" w:sz="4" w:space="0" w:color="auto"/>
            </w:tcBorders>
            <w:vAlign w:val="center"/>
          </w:tcPr>
          <w:p w14:paraId="3125AF45" w14:textId="77777777" w:rsidR="00E12824" w:rsidRPr="00C43A20" w:rsidRDefault="00E12824" w:rsidP="00E12824">
            <w:pPr>
              <w:jc w:val="center"/>
              <w:rPr>
                <w:rFonts w:ascii="Times New Roman" w:hAnsi="Times New Roman" w:cs="Times New Roman"/>
                <w:sz w:val="24"/>
                <w:szCs w:val="24"/>
              </w:rPr>
            </w:pPr>
            <w:r w:rsidRPr="00C43A20">
              <w:rPr>
                <w:rFonts w:ascii="Times New Roman" w:hAnsi="Times New Roman" w:cs="Times New Roman"/>
                <w:b/>
                <w:sz w:val="24"/>
                <w:szCs w:val="24"/>
              </w:rPr>
              <w:t>ORGANİZASYON BİLGİLERİ</w:t>
            </w:r>
          </w:p>
        </w:tc>
        <w:tc>
          <w:tcPr>
            <w:tcW w:w="2837" w:type="dxa"/>
            <w:tcBorders>
              <w:top w:val="double" w:sz="4" w:space="0" w:color="auto"/>
              <w:left w:val="double" w:sz="4" w:space="0" w:color="auto"/>
              <w:bottom w:val="double" w:sz="4" w:space="0" w:color="auto"/>
              <w:right w:val="double" w:sz="4" w:space="0" w:color="auto"/>
            </w:tcBorders>
          </w:tcPr>
          <w:p w14:paraId="0DC1B992" w14:textId="77777777" w:rsidR="00E12824" w:rsidRPr="00C43A20" w:rsidRDefault="00E12824" w:rsidP="00E12824">
            <w:pPr>
              <w:rPr>
                <w:rFonts w:ascii="Times New Roman" w:hAnsi="Times New Roman" w:cs="Times New Roman"/>
                <w:sz w:val="24"/>
                <w:szCs w:val="24"/>
              </w:rPr>
            </w:pPr>
            <w:r w:rsidRPr="00C43A20">
              <w:rPr>
                <w:rFonts w:ascii="Times New Roman" w:hAnsi="Times New Roman" w:cs="Times New Roman"/>
                <w:b/>
                <w:sz w:val="24"/>
                <w:szCs w:val="24"/>
              </w:rPr>
              <w:t>Birim Adı</w:t>
            </w:r>
          </w:p>
        </w:tc>
        <w:tc>
          <w:tcPr>
            <w:tcW w:w="4848" w:type="dxa"/>
            <w:gridSpan w:val="2"/>
            <w:tcBorders>
              <w:top w:val="double" w:sz="4" w:space="0" w:color="auto"/>
              <w:bottom w:val="double" w:sz="4" w:space="0" w:color="auto"/>
              <w:right w:val="double" w:sz="4" w:space="0" w:color="auto"/>
            </w:tcBorders>
          </w:tcPr>
          <w:p w14:paraId="5BF8BECC" w14:textId="024E140B" w:rsidR="00E12824" w:rsidRPr="00C43A20" w:rsidRDefault="00E12824" w:rsidP="00E12824">
            <w:pPr>
              <w:pStyle w:val="TableParagraph"/>
              <w:spacing w:before="1" w:line="274" w:lineRule="exact"/>
              <w:ind w:left="0"/>
              <w:rPr>
                <w:rFonts w:ascii="Times New Roman" w:hAnsi="Times New Roman" w:cs="Times New Roman"/>
                <w:sz w:val="24"/>
                <w:lang w:val="tr-TR"/>
              </w:rPr>
            </w:pPr>
            <w:proofErr w:type="spellStart"/>
            <w:r>
              <w:rPr>
                <w:rFonts w:ascii="Times New Roman" w:hAnsi="Times New Roman" w:cs="Times New Roman"/>
                <w:sz w:val="24"/>
                <w:szCs w:val="24"/>
              </w:rPr>
              <w:t>Müdürlük</w:t>
            </w:r>
            <w:proofErr w:type="spellEnd"/>
          </w:p>
        </w:tc>
      </w:tr>
      <w:tr w:rsidR="00E12824" w:rsidRPr="00C43A20" w14:paraId="1DD0E885" w14:textId="77777777" w:rsidTr="00D92DCE">
        <w:trPr>
          <w:trHeight w:val="291"/>
        </w:trPr>
        <w:tc>
          <w:tcPr>
            <w:tcW w:w="3117" w:type="dxa"/>
            <w:gridSpan w:val="2"/>
            <w:vMerge/>
            <w:tcBorders>
              <w:top w:val="double" w:sz="4" w:space="0" w:color="auto"/>
              <w:left w:val="double" w:sz="4" w:space="0" w:color="auto"/>
              <w:bottom w:val="double" w:sz="4" w:space="0" w:color="auto"/>
              <w:right w:val="double" w:sz="4" w:space="0" w:color="auto"/>
            </w:tcBorders>
          </w:tcPr>
          <w:p w14:paraId="0D181327" w14:textId="77777777" w:rsidR="00E12824" w:rsidRPr="00C43A20" w:rsidRDefault="00E12824" w:rsidP="00E12824">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6FA37E54" w14:textId="77777777" w:rsidR="00E12824" w:rsidRPr="00C43A20" w:rsidRDefault="00E12824" w:rsidP="00E12824">
            <w:pPr>
              <w:rPr>
                <w:rFonts w:ascii="Times New Roman" w:hAnsi="Times New Roman" w:cs="Times New Roman"/>
                <w:sz w:val="24"/>
                <w:szCs w:val="24"/>
              </w:rPr>
            </w:pPr>
            <w:r w:rsidRPr="00C43A20">
              <w:rPr>
                <w:rFonts w:ascii="Times New Roman" w:hAnsi="Times New Roman" w:cs="Times New Roman"/>
                <w:b/>
                <w:sz w:val="24"/>
                <w:szCs w:val="24"/>
              </w:rPr>
              <w:t>Üst Yönetici/Yöneticileri</w:t>
            </w:r>
          </w:p>
        </w:tc>
        <w:tc>
          <w:tcPr>
            <w:tcW w:w="4848" w:type="dxa"/>
            <w:gridSpan w:val="2"/>
            <w:tcBorders>
              <w:top w:val="double" w:sz="4" w:space="0" w:color="auto"/>
              <w:bottom w:val="double" w:sz="4" w:space="0" w:color="auto"/>
              <w:right w:val="double" w:sz="4" w:space="0" w:color="auto"/>
            </w:tcBorders>
          </w:tcPr>
          <w:p w14:paraId="6E326170" w14:textId="3D844F85" w:rsidR="00E12824" w:rsidRPr="00E12824" w:rsidRDefault="00E12824" w:rsidP="00E12824">
            <w:pPr>
              <w:rPr>
                <w:rFonts w:ascii="Times New Roman" w:hAnsi="Times New Roman" w:cs="Times New Roman"/>
                <w:sz w:val="24"/>
                <w:szCs w:val="24"/>
              </w:rPr>
            </w:pPr>
            <w:r>
              <w:rPr>
                <w:rFonts w:ascii="Times New Roman" w:hAnsi="Times New Roman" w:cs="Times New Roman"/>
                <w:sz w:val="24"/>
                <w:szCs w:val="24"/>
              </w:rPr>
              <w:t>Rektör</w:t>
            </w:r>
          </w:p>
        </w:tc>
      </w:tr>
      <w:tr w:rsidR="00E12824" w:rsidRPr="00C43A20" w14:paraId="7CE12122" w14:textId="77777777" w:rsidTr="00D92DCE">
        <w:trPr>
          <w:trHeight w:val="275"/>
        </w:trPr>
        <w:tc>
          <w:tcPr>
            <w:tcW w:w="3117" w:type="dxa"/>
            <w:gridSpan w:val="2"/>
            <w:vMerge/>
            <w:tcBorders>
              <w:top w:val="double" w:sz="4" w:space="0" w:color="auto"/>
              <w:left w:val="double" w:sz="4" w:space="0" w:color="auto"/>
              <w:bottom w:val="double" w:sz="4" w:space="0" w:color="auto"/>
              <w:right w:val="double" w:sz="4" w:space="0" w:color="auto"/>
            </w:tcBorders>
          </w:tcPr>
          <w:p w14:paraId="72750045" w14:textId="77777777" w:rsidR="00E12824" w:rsidRPr="00C43A20" w:rsidRDefault="00E12824" w:rsidP="00E12824">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0D983BA0" w14:textId="28A56E30" w:rsidR="00E12824" w:rsidRPr="00C43A20" w:rsidRDefault="00E12824" w:rsidP="00E12824">
            <w:pPr>
              <w:rPr>
                <w:rFonts w:ascii="Times New Roman" w:hAnsi="Times New Roman" w:cs="Times New Roman"/>
                <w:sz w:val="24"/>
                <w:szCs w:val="24"/>
              </w:rPr>
            </w:pPr>
            <w:r w:rsidRPr="00C43A20">
              <w:rPr>
                <w:rFonts w:ascii="Times New Roman" w:hAnsi="Times New Roman" w:cs="Times New Roman"/>
                <w:b/>
                <w:sz w:val="24"/>
                <w:szCs w:val="24"/>
              </w:rPr>
              <w:t>Görev Ünvanı</w:t>
            </w:r>
          </w:p>
        </w:tc>
        <w:tc>
          <w:tcPr>
            <w:tcW w:w="4848" w:type="dxa"/>
            <w:gridSpan w:val="2"/>
            <w:tcBorders>
              <w:top w:val="double" w:sz="4" w:space="0" w:color="auto"/>
              <w:bottom w:val="double" w:sz="4" w:space="0" w:color="auto"/>
              <w:right w:val="double" w:sz="4" w:space="0" w:color="auto"/>
            </w:tcBorders>
          </w:tcPr>
          <w:p w14:paraId="2434139D" w14:textId="2BB79964" w:rsidR="00E12824" w:rsidRPr="00C43A20" w:rsidRDefault="00E12824" w:rsidP="00E12824">
            <w:pPr>
              <w:pStyle w:val="TableParagraph"/>
              <w:spacing w:before="1" w:line="274" w:lineRule="exact"/>
              <w:ind w:left="0"/>
              <w:rPr>
                <w:rFonts w:ascii="Times New Roman" w:hAnsi="Times New Roman" w:cs="Times New Roman"/>
                <w:sz w:val="24"/>
                <w:lang w:val="tr-TR"/>
              </w:rPr>
            </w:pPr>
            <w:proofErr w:type="spellStart"/>
            <w:r>
              <w:rPr>
                <w:rFonts w:ascii="Times New Roman" w:hAnsi="Times New Roman" w:cs="Times New Roman"/>
                <w:sz w:val="24"/>
                <w:szCs w:val="24"/>
              </w:rPr>
              <w:t>Yüksekokul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Müdürü</w:t>
            </w:r>
            <w:proofErr w:type="spellEnd"/>
          </w:p>
        </w:tc>
      </w:tr>
      <w:tr w:rsidR="00306482" w:rsidRPr="00C43A20" w14:paraId="7EBB7517" w14:textId="77777777" w:rsidTr="00E12824">
        <w:trPr>
          <w:cantSplit/>
          <w:trHeight w:hRule="exact" w:val="13987"/>
        </w:trPr>
        <w:tc>
          <w:tcPr>
            <w:tcW w:w="978" w:type="dxa"/>
            <w:tcBorders>
              <w:top w:val="double" w:sz="4" w:space="0" w:color="auto"/>
              <w:left w:val="double" w:sz="4" w:space="0" w:color="auto"/>
              <w:bottom w:val="double" w:sz="4" w:space="0" w:color="auto"/>
              <w:right w:val="double" w:sz="4" w:space="0" w:color="auto"/>
            </w:tcBorders>
            <w:textDirection w:val="btLr"/>
            <w:vAlign w:val="center"/>
          </w:tcPr>
          <w:p w14:paraId="63C110E8" w14:textId="77777777" w:rsidR="00306482" w:rsidRPr="00C43A20" w:rsidRDefault="00306482" w:rsidP="00306482">
            <w:pPr>
              <w:ind w:left="113" w:right="113"/>
              <w:jc w:val="center"/>
              <w:rPr>
                <w:rFonts w:ascii="Times New Roman" w:hAnsi="Times New Roman" w:cs="Times New Roman"/>
                <w:b/>
                <w:sz w:val="24"/>
                <w:szCs w:val="24"/>
              </w:rPr>
            </w:pPr>
            <w:r w:rsidRPr="00C43A20">
              <w:rPr>
                <w:rFonts w:ascii="Times New Roman" w:hAnsi="Times New Roman" w:cs="Times New Roman"/>
                <w:b/>
                <w:sz w:val="24"/>
                <w:szCs w:val="24"/>
              </w:rPr>
              <w:t>GÖREV, YETKİ VE SORUMLULUKLAR</w:t>
            </w:r>
          </w:p>
        </w:tc>
        <w:tc>
          <w:tcPr>
            <w:tcW w:w="9824" w:type="dxa"/>
            <w:gridSpan w:val="4"/>
            <w:tcBorders>
              <w:top w:val="double" w:sz="4" w:space="0" w:color="auto"/>
              <w:left w:val="double" w:sz="4" w:space="0" w:color="auto"/>
              <w:bottom w:val="double" w:sz="4" w:space="0" w:color="auto"/>
              <w:right w:val="double" w:sz="4" w:space="0" w:color="auto"/>
            </w:tcBorders>
            <w:vAlign w:val="center"/>
          </w:tcPr>
          <w:p w14:paraId="6B5F873E" w14:textId="77777777" w:rsidR="00E12824" w:rsidRPr="006646D1" w:rsidRDefault="00E12824" w:rsidP="00673431">
            <w:pPr>
              <w:pStyle w:val="ListParagraph"/>
              <w:ind w:left="354"/>
              <w:jc w:val="both"/>
              <w:rPr>
                <w:sz w:val="21"/>
                <w:szCs w:val="21"/>
              </w:rPr>
            </w:pPr>
            <w:r w:rsidRPr="006646D1">
              <w:rPr>
                <w:sz w:val="21"/>
                <w:szCs w:val="21"/>
              </w:rPr>
              <w:t>2547 Sayılı Kanun’un 20/b maddesinde belirtilen hususlara ilaveten Yüksekokul Müdürünün görev, yetki ve Sorumlulukları şunlardır:</w:t>
            </w:r>
          </w:p>
          <w:p w14:paraId="4AD44970"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 kurullarına başkanlık eder, Yüksekokul kurullarının kararlarını uygular ve Yüksekokul birimleri arasında düzenli çalışmayı sağlar.</w:t>
            </w:r>
          </w:p>
          <w:p w14:paraId="4D122787"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Her öğretim yılı sonunda ve istendiğinde Yüksekokulun genel durumu ve işleyişi hakkında rektöre rapor verir.</w:t>
            </w:r>
          </w:p>
          <w:p w14:paraId="4C8337B7"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ödenek ve kadro ihtiyaçlarını gerekçesi ile birlikte rektörlüğe bildirir, Yüksekokul bütçesi ile ilgili öneriyi Yüksekokul yönetim kurulunun da görüşünü aldıktan sonra rektörlüğe sunar.</w:t>
            </w:r>
          </w:p>
          <w:p w14:paraId="60FD40DE"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birimleri ve her düzeydeki personeli üzerinde genel gözetim ve denetim görevini yapar.</w:t>
            </w:r>
          </w:p>
          <w:p w14:paraId="6EAE793C"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misyon ve vizyonunu belirler; bunu tüm çalışanları ile paylaşır, gerçekleşmesi için çalışanları motive eder.</w:t>
            </w:r>
          </w:p>
          <w:p w14:paraId="366DE4EA"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İdarî ve akademik birimlerdeki süreçlerin, kanun ve yönetmeliklere uygun olarak etkili ve verimli bir şekilde yürütülmesini sağlar.</w:t>
            </w:r>
          </w:p>
          <w:p w14:paraId="30F3B110"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eğitim-öğretim sistemiyle ilgili sorunlarını tespit eder, çözüme kavuşturur, gerektiğinde üst makamlara iletir.</w:t>
            </w:r>
          </w:p>
          <w:p w14:paraId="0FDC744E"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stratejik planının hazırlanmasını sağlar.</w:t>
            </w:r>
          </w:p>
          <w:p w14:paraId="17667E60"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Yüksekokuldaki hizmetlerin etkili ve verimli bir şekilde yürütülmesi, verilerin bilimsel dayanaklara oturtulması ve Yönetime sağlıklı bilgi akışının gerçekleştirilmesi amacıyla gerekli görülen hâllerde komisyonlar oluşturur.</w:t>
            </w:r>
          </w:p>
          <w:p w14:paraId="520AD887"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fizikî donanımı ile insan kaynaklarının etkili ve verimli olarak kullanılmasını sağlar.</w:t>
            </w:r>
          </w:p>
          <w:p w14:paraId="0521A0F7"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Çağdaş gelişmeleri takip ederek, belirlenen misyon ve vizyona uygun olarak bunları Yüksekokuldaki süreçlere yansıtır.</w:t>
            </w:r>
          </w:p>
          <w:p w14:paraId="7628E91C"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Yüksekokulda kalite bilincinin oluşturulup yaygınlaştırılmasını sağlar; ayrıca, kalite güvencesini sağlayarak gerekli uygulamaları gerçekleştirir.</w:t>
            </w:r>
          </w:p>
          <w:p w14:paraId="1A83DF05"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eğitim-öğretim, bilimsel araştırma ve yayın etkinliklerinin çağdaş bir anlayışla Yüksekokulun misyon ve vizyonuna uygun olarak yürütülmesini sağlar</w:t>
            </w:r>
          </w:p>
          <w:p w14:paraId="500F826E"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ihtiyaçları doğrultusunda diğer kurum ve kuruluşlarla bağlantı kurarak kaynak sağlama yönünde çaba gösterir.</w:t>
            </w:r>
          </w:p>
          <w:p w14:paraId="7E0B97F7"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 değerlendirme ve kalite geliştirme çalışmalarının düzenli bir biçimde yürütülmesini sağlar.</w:t>
            </w:r>
          </w:p>
          <w:p w14:paraId="1DD1CF0D"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tüm idarî ve akademik personeli ile öğrencilerinin her türlü sosyal, kültürel ve bilimsel etkinliklere katılımlarını sağlayarak üretici bir duruma gelmeleri için çalışır. Böylece bir liderlik anlayışıyla Yüksekokulda takım çalışması ruhunu geliştirir.</w:t>
            </w:r>
          </w:p>
          <w:p w14:paraId="1500E3FE"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Yüksekokulun akademik ve idari personeli için ihtiyaç duyulan alanlarda kurs, seminer ve konferans gibi etkinlikler düzenleyerek Yüksekokulun sürekli öğrenen bir organizasyon haline gelmesi için çalışır.</w:t>
            </w:r>
          </w:p>
          <w:p w14:paraId="5E373893"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Eğitim-öğretim ve araştırmalarla ilgili politikalar ve stratejiler geliştirir.</w:t>
            </w:r>
          </w:p>
          <w:p w14:paraId="07824D2D"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Yüksekokulda eğitim-öğretimin düzenli bir şekilde sürdürülmesini sağlar.</w:t>
            </w:r>
          </w:p>
          <w:p w14:paraId="2CD76ECC"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w:t>
            </w:r>
          </w:p>
          <w:p w14:paraId="5FC24B78"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Bütçeyle ödenek tahsis edilen her bir harcama biriminin en üst yöneticisi olarak harcama yetkisini elinde bulundurur.</w:t>
            </w:r>
          </w:p>
          <w:p w14:paraId="3BD61FBF"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sorumludur.</w:t>
            </w:r>
          </w:p>
          <w:p w14:paraId="208CC478"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Bütçede öngörülen ödenekleri kadar ödenek gönderme belgesiyle, ödenek verilen harcama yetkilileri</w:t>
            </w:r>
          </w:p>
          <w:p w14:paraId="535A0084" w14:textId="77777777" w:rsidR="00E12824" w:rsidRPr="006646D1" w:rsidRDefault="00E12824" w:rsidP="00673431">
            <w:pPr>
              <w:pStyle w:val="ListParagraph"/>
              <w:ind w:left="354"/>
              <w:jc w:val="both"/>
              <w:rPr>
                <w:sz w:val="21"/>
                <w:szCs w:val="21"/>
              </w:rPr>
            </w:pPr>
            <w:r w:rsidRPr="006646D1">
              <w:rPr>
                <w:sz w:val="21"/>
                <w:szCs w:val="21"/>
              </w:rPr>
              <w:t>ise tahsis edilen ödenek tutarında harcama yapılması için Gerçekleştirme Görevlisine talimat verir.</w:t>
            </w:r>
          </w:p>
          <w:p w14:paraId="3ED2A863" w14:textId="77777777" w:rsidR="00E12824" w:rsidRPr="006646D1" w:rsidRDefault="00E12824" w:rsidP="00673431">
            <w:pPr>
              <w:pStyle w:val="ListParagraph"/>
              <w:numPr>
                <w:ilvl w:val="0"/>
                <w:numId w:val="5"/>
              </w:numPr>
              <w:ind w:left="354"/>
              <w:jc w:val="both"/>
              <w:rPr>
                <w:sz w:val="21"/>
                <w:szCs w:val="21"/>
              </w:rPr>
            </w:pPr>
            <w:r w:rsidRPr="006646D1">
              <w:rPr>
                <w:sz w:val="21"/>
                <w:szCs w:val="21"/>
              </w:rPr>
              <w:t>Tasarruf ilkelerine uygun hareket eder.</w:t>
            </w:r>
          </w:p>
          <w:p w14:paraId="3292AF0A" w14:textId="77777777" w:rsidR="00E12824" w:rsidRDefault="00E12824" w:rsidP="00673431">
            <w:pPr>
              <w:pStyle w:val="ListParagraph"/>
              <w:numPr>
                <w:ilvl w:val="0"/>
                <w:numId w:val="5"/>
              </w:numPr>
              <w:ind w:left="354"/>
              <w:jc w:val="both"/>
              <w:rPr>
                <w:sz w:val="21"/>
                <w:szCs w:val="21"/>
              </w:rPr>
            </w:pPr>
          </w:p>
          <w:p w14:paraId="4051DAA4" w14:textId="77777777" w:rsidR="00E12824" w:rsidRDefault="00E12824" w:rsidP="00673431">
            <w:pPr>
              <w:pStyle w:val="ListParagraph"/>
              <w:numPr>
                <w:ilvl w:val="1"/>
                <w:numId w:val="5"/>
              </w:numPr>
              <w:ind w:left="460" w:firstLine="0"/>
              <w:jc w:val="both"/>
              <w:rPr>
                <w:sz w:val="21"/>
                <w:szCs w:val="21"/>
              </w:rPr>
            </w:pPr>
            <w:r w:rsidRPr="006646D1">
              <w:rPr>
                <w:sz w:val="21"/>
                <w:szCs w:val="21"/>
              </w:rPr>
              <w:t>Yüksekokulun ve bağlı birimlerinin öğretim kapasitesinin rasyonel bir şekilde kullanılmasında ve</w:t>
            </w:r>
            <w:r>
              <w:rPr>
                <w:sz w:val="21"/>
                <w:szCs w:val="21"/>
              </w:rPr>
              <w:t xml:space="preserve"> </w:t>
            </w:r>
            <w:r w:rsidRPr="006646D1">
              <w:rPr>
                <w:sz w:val="21"/>
                <w:szCs w:val="21"/>
              </w:rPr>
              <w:t>geliştirilmesinde gerektiği zaman güvenlik önlemlerinin alınmasında,</w:t>
            </w:r>
          </w:p>
          <w:p w14:paraId="64CEBAEF" w14:textId="77777777" w:rsidR="00E12824" w:rsidRPr="00E12824" w:rsidRDefault="00E12824" w:rsidP="00673431">
            <w:pPr>
              <w:pStyle w:val="ListParagraph"/>
              <w:numPr>
                <w:ilvl w:val="1"/>
                <w:numId w:val="5"/>
              </w:numPr>
              <w:spacing w:before="1"/>
              <w:ind w:left="460" w:firstLine="0"/>
              <w:jc w:val="both"/>
              <w:rPr>
                <w:rFonts w:ascii="Times New Roman" w:hAnsi="Times New Roman" w:cs="Times New Roman"/>
                <w:sz w:val="24"/>
                <w:szCs w:val="24"/>
              </w:rPr>
            </w:pPr>
            <w:r w:rsidRPr="00E12824">
              <w:rPr>
                <w:sz w:val="21"/>
                <w:szCs w:val="21"/>
              </w:rPr>
              <w:t>Öğrencilere gerekli sosyal hizmetlerin sağlanmasında,</w:t>
            </w:r>
          </w:p>
          <w:p w14:paraId="00B2825B" w14:textId="69A7C8C9" w:rsidR="00E12824" w:rsidRPr="00E12824" w:rsidRDefault="00E12824" w:rsidP="00673431">
            <w:pPr>
              <w:pStyle w:val="ListParagraph"/>
              <w:numPr>
                <w:ilvl w:val="1"/>
                <w:numId w:val="5"/>
              </w:numPr>
              <w:spacing w:before="1"/>
              <w:ind w:left="460" w:firstLine="0"/>
              <w:jc w:val="both"/>
              <w:rPr>
                <w:rFonts w:ascii="Times New Roman" w:hAnsi="Times New Roman" w:cs="Times New Roman"/>
                <w:sz w:val="24"/>
                <w:szCs w:val="24"/>
              </w:rPr>
            </w:pPr>
            <w:r w:rsidRPr="00E12824">
              <w:rPr>
                <w:sz w:val="21"/>
                <w:szCs w:val="21"/>
              </w:rPr>
              <w:t>Eğitim-öğretim, bilimsel araştırma ve yayını faaliyetlerinin düzenli bir şekilde yürütülmesinde, bütün faaliyetlerin gözetim ve denetiminin yapılmasında, takip ve kontrol edilmesinde ve sonuçlarının alınmasında, Rektöre karşı birinci derecede sorumludur.</w:t>
            </w:r>
          </w:p>
          <w:p w14:paraId="4C554817" w14:textId="1DF83FD4" w:rsidR="00306482" w:rsidRPr="00C43A20" w:rsidRDefault="00306482" w:rsidP="004E7E5D">
            <w:pPr>
              <w:spacing w:before="1"/>
              <w:ind w:left="339" w:hanging="339"/>
              <w:rPr>
                <w:rFonts w:ascii="Times New Roman" w:hAnsi="Times New Roman" w:cs="Times New Roman"/>
                <w:sz w:val="24"/>
                <w:szCs w:val="24"/>
              </w:rPr>
            </w:pPr>
          </w:p>
        </w:tc>
      </w:tr>
    </w:tbl>
    <w:p w14:paraId="5083F92E" w14:textId="77777777" w:rsidR="00EF5776" w:rsidRPr="00C43A20" w:rsidRDefault="00EF5776" w:rsidP="00E12824">
      <w:pPr>
        <w:rPr>
          <w:rFonts w:ascii="Times New Roman" w:hAnsi="Times New Roman" w:cs="Times New Roman"/>
          <w:sz w:val="24"/>
          <w:szCs w:val="24"/>
        </w:rPr>
      </w:pPr>
    </w:p>
    <w:sectPr w:rsidR="00EF5776" w:rsidRPr="00C43A20" w:rsidSect="00E12824">
      <w:pgSz w:w="11906" w:h="16838"/>
      <w:pgMar w:top="397"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720D3"/>
    <w:multiLevelType w:val="hybridMultilevel"/>
    <w:tmpl w:val="01A6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163B2F"/>
    <w:multiLevelType w:val="multilevel"/>
    <w:tmpl w:val="628299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732133F"/>
    <w:multiLevelType w:val="hybridMultilevel"/>
    <w:tmpl w:val="62B42102"/>
    <w:lvl w:ilvl="0" w:tplc="4E4AEBBE">
      <w:start w:val="1"/>
      <w:numFmt w:val="decimal"/>
      <w:lvlText w:val="%1."/>
      <w:lvlJc w:val="left"/>
      <w:pPr>
        <w:ind w:left="499" w:hanging="360"/>
      </w:pPr>
      <w:rPr>
        <w:rFonts w:hint="default"/>
      </w:rPr>
    </w:lvl>
    <w:lvl w:ilvl="1" w:tplc="041F0019" w:tentative="1">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3" w15:restartNumberingAfterBreak="0">
    <w:nsid w:val="48621A63"/>
    <w:multiLevelType w:val="hybridMultilevel"/>
    <w:tmpl w:val="1E4EE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68A2C24"/>
    <w:multiLevelType w:val="hybridMultilevel"/>
    <w:tmpl w:val="D01C5058"/>
    <w:lvl w:ilvl="0" w:tplc="041F000F">
      <w:start w:val="1"/>
      <w:numFmt w:val="decimal"/>
      <w:lvlText w:val="%1."/>
      <w:lvlJc w:val="left"/>
      <w:pPr>
        <w:ind w:left="720" w:hanging="360"/>
      </w:pPr>
    </w:lvl>
    <w:lvl w:ilvl="1" w:tplc="D2C2196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60"/>
    <w:rsid w:val="00092063"/>
    <w:rsid w:val="001A7CE2"/>
    <w:rsid w:val="001F6328"/>
    <w:rsid w:val="002E4702"/>
    <w:rsid w:val="00306482"/>
    <w:rsid w:val="00384916"/>
    <w:rsid w:val="003A610D"/>
    <w:rsid w:val="003B0C1B"/>
    <w:rsid w:val="003B5663"/>
    <w:rsid w:val="00460D40"/>
    <w:rsid w:val="004E7E5D"/>
    <w:rsid w:val="005F4B46"/>
    <w:rsid w:val="00624FE8"/>
    <w:rsid w:val="0063432C"/>
    <w:rsid w:val="00673431"/>
    <w:rsid w:val="0068524F"/>
    <w:rsid w:val="0075526B"/>
    <w:rsid w:val="007C7E7D"/>
    <w:rsid w:val="00856F33"/>
    <w:rsid w:val="009B5DD0"/>
    <w:rsid w:val="00A21AB5"/>
    <w:rsid w:val="00AC570C"/>
    <w:rsid w:val="00B1428D"/>
    <w:rsid w:val="00B233C8"/>
    <w:rsid w:val="00B24427"/>
    <w:rsid w:val="00B34132"/>
    <w:rsid w:val="00BA2460"/>
    <w:rsid w:val="00C43A20"/>
    <w:rsid w:val="00C55270"/>
    <w:rsid w:val="00CB27C6"/>
    <w:rsid w:val="00D06102"/>
    <w:rsid w:val="00D06B9B"/>
    <w:rsid w:val="00D2197A"/>
    <w:rsid w:val="00D8642D"/>
    <w:rsid w:val="00D92DCE"/>
    <w:rsid w:val="00E12824"/>
    <w:rsid w:val="00EF5776"/>
    <w:rsid w:val="00F0316C"/>
    <w:rsid w:val="00F13002"/>
    <w:rsid w:val="00F241FE"/>
    <w:rsid w:val="00F41A3C"/>
    <w:rsid w:val="00F71FEF"/>
    <w:rsid w:val="00F8092C"/>
    <w:rsid w:val="00F8212F"/>
    <w:rsid w:val="00FB5196"/>
    <w:rsid w:val="00FC72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0058"/>
  <w15:docId w15:val="{88BD335E-FA41-4AB8-8896-5D1D1907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206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09206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09206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92063"/>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92063"/>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09206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92063"/>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92063"/>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9206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206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09206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09206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92063"/>
    <w:rPr>
      <w:rFonts w:eastAsiaTheme="minorEastAsia"/>
      <w:b/>
      <w:bCs/>
      <w:sz w:val="28"/>
      <w:szCs w:val="28"/>
      <w:lang w:val="en-US"/>
    </w:rPr>
  </w:style>
  <w:style w:type="character" w:customStyle="1" w:styleId="Heading5Char">
    <w:name w:val="Heading 5 Char"/>
    <w:basedOn w:val="DefaultParagraphFont"/>
    <w:link w:val="Heading5"/>
    <w:uiPriority w:val="9"/>
    <w:semiHidden/>
    <w:rsid w:val="00092063"/>
    <w:rPr>
      <w:rFonts w:eastAsiaTheme="minorEastAsia"/>
      <w:b/>
      <w:bCs/>
      <w:i/>
      <w:iCs/>
      <w:sz w:val="26"/>
      <w:szCs w:val="26"/>
      <w:lang w:val="en-US"/>
    </w:rPr>
  </w:style>
  <w:style w:type="character" w:customStyle="1" w:styleId="Heading6Char">
    <w:name w:val="Heading 6 Char"/>
    <w:basedOn w:val="DefaultParagraphFont"/>
    <w:link w:val="Heading6"/>
    <w:rsid w:val="0009206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92063"/>
    <w:rPr>
      <w:rFonts w:eastAsiaTheme="minorEastAsia"/>
      <w:sz w:val="24"/>
      <w:szCs w:val="24"/>
      <w:lang w:val="en-US"/>
    </w:rPr>
  </w:style>
  <w:style w:type="character" w:customStyle="1" w:styleId="Heading8Char">
    <w:name w:val="Heading 8 Char"/>
    <w:basedOn w:val="DefaultParagraphFont"/>
    <w:link w:val="Heading8"/>
    <w:uiPriority w:val="9"/>
    <w:semiHidden/>
    <w:rsid w:val="00092063"/>
    <w:rPr>
      <w:rFonts w:eastAsiaTheme="minorEastAsia"/>
      <w:i/>
      <w:iCs/>
      <w:sz w:val="24"/>
      <w:szCs w:val="24"/>
      <w:lang w:val="en-US"/>
    </w:rPr>
  </w:style>
  <w:style w:type="character" w:customStyle="1" w:styleId="Heading9Char">
    <w:name w:val="Heading 9 Char"/>
    <w:basedOn w:val="DefaultParagraphFont"/>
    <w:link w:val="Heading9"/>
    <w:uiPriority w:val="9"/>
    <w:semiHidden/>
    <w:rsid w:val="00092063"/>
    <w:rPr>
      <w:rFonts w:asciiTheme="majorHAnsi" w:eastAsiaTheme="majorEastAsia" w:hAnsiTheme="majorHAnsi" w:cstheme="majorBidi"/>
      <w:lang w:val="en-US"/>
    </w:rPr>
  </w:style>
  <w:style w:type="paragraph" w:styleId="Header">
    <w:name w:val="header"/>
    <w:basedOn w:val="Normal"/>
    <w:link w:val="Header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09206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09206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86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2D"/>
    <w:rPr>
      <w:rFonts w:ascii="Segoe UI" w:hAnsi="Segoe UI" w:cs="Segoe UI"/>
      <w:sz w:val="18"/>
      <w:szCs w:val="18"/>
    </w:rPr>
  </w:style>
  <w:style w:type="paragraph" w:styleId="ListParagraph">
    <w:name w:val="List Paragraph"/>
    <w:basedOn w:val="Normal"/>
    <w:uiPriority w:val="34"/>
    <w:qFormat/>
    <w:rsid w:val="00D8642D"/>
    <w:pPr>
      <w:ind w:left="720"/>
      <w:contextualSpacing/>
    </w:pPr>
  </w:style>
  <w:style w:type="paragraph" w:customStyle="1" w:styleId="Style2">
    <w:name w:val="Style2"/>
    <w:basedOn w:val="Normal"/>
    <w:uiPriority w:val="99"/>
    <w:rsid w:val="00F71FE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F71FEF"/>
    <w:pPr>
      <w:widowControl w:val="0"/>
      <w:autoSpaceDE w:val="0"/>
      <w:autoSpaceDN w:val="0"/>
      <w:adjustRightInd w:val="0"/>
      <w:spacing w:after="0" w:line="413" w:lineRule="exact"/>
      <w:ind w:hanging="490"/>
      <w:jc w:val="both"/>
    </w:pPr>
    <w:rPr>
      <w:rFonts w:ascii="Times New Roman" w:eastAsiaTheme="minorEastAsia" w:hAnsi="Times New Roman" w:cs="Times New Roman"/>
      <w:sz w:val="24"/>
      <w:szCs w:val="24"/>
      <w:lang w:eastAsia="tr-TR"/>
    </w:rPr>
  </w:style>
  <w:style w:type="character" w:customStyle="1" w:styleId="FontStyle11">
    <w:name w:val="Font Style11"/>
    <w:basedOn w:val="DefaultParagraphFont"/>
    <w:uiPriority w:val="99"/>
    <w:rsid w:val="00F71FEF"/>
    <w:rPr>
      <w:rFonts w:ascii="Times New Roman" w:hAnsi="Times New Roman" w:cs="Times New Roman"/>
      <w:b/>
      <w:bCs/>
      <w:sz w:val="22"/>
      <w:szCs w:val="22"/>
    </w:rPr>
  </w:style>
  <w:style w:type="character" w:customStyle="1" w:styleId="FontStyle12">
    <w:name w:val="Font Style12"/>
    <w:basedOn w:val="DefaultParagraphFont"/>
    <w:uiPriority w:val="99"/>
    <w:rsid w:val="00F71FEF"/>
    <w:rPr>
      <w:rFonts w:ascii="Times New Roman" w:hAnsi="Times New Roman" w:cs="Times New Roman"/>
      <w:sz w:val="22"/>
      <w:szCs w:val="22"/>
    </w:rPr>
  </w:style>
  <w:style w:type="paragraph" w:customStyle="1" w:styleId="TableParagraph">
    <w:name w:val="Table Paragraph"/>
    <w:basedOn w:val="Normal"/>
    <w:uiPriority w:val="1"/>
    <w:qFormat/>
    <w:rsid w:val="00D92DCE"/>
    <w:pPr>
      <w:widowControl w:val="0"/>
      <w:autoSpaceDE w:val="0"/>
      <w:autoSpaceDN w:val="0"/>
      <w:spacing w:after="0" w:line="240" w:lineRule="auto"/>
      <w:ind w:left="11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640</Words>
  <Characters>3654</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MüdürBey</dc:creator>
  <cp:keywords/>
  <dc:description/>
  <cp:lastModifiedBy>user</cp:lastModifiedBy>
  <cp:revision>7</cp:revision>
  <cp:lastPrinted>2025-11-13T10:42:00Z</cp:lastPrinted>
  <dcterms:created xsi:type="dcterms:W3CDTF">2025-11-13T12:16:00Z</dcterms:created>
  <dcterms:modified xsi:type="dcterms:W3CDTF">2026-01-01T20:02:00Z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5bf6b57d-9517-457b-8d1b-da1562c0e79d</vt:lpwstr>
  </property>
</Properties>
</file>